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341 vom 7. Oktober 1981</w:t>
      </w:r>
    </w:p>
    <w:p>
      <w:r>
        <w:t>Bundesgericht (BGE), 1981-10-07, IT</w:t>
      </w:r>
    </w:p>
    <w:p>
      <w:r>
        <w:rPr>
          <w:b/>
        </w:rPr>
        <w:t xml:space="preserve">Quelle: </w:t>
      </w:r>
      <w:r>
        <w:t>https://mcp.opencaselaw.ch/entscheid/bge_107 IB 341</w:t>
      </w:r>
    </w:p>
    <w:p>
      <w:r>
        <w:t>FR: BGE 107 IB 341 du 7 octobre 1981</w:t>
      </w:r>
    </w:p>
    <w:p>
      <w:r>
        <w:t>IT: BGE 107 IB 341 del 7 ottobre 1981</w:t>
      </w:r>
    </w:p>
    <w:p>
      <w:pPr>
        <w:pStyle w:val="Heading2"/>
      </w:pPr>
      <w:r>
        <w:t>Regeste</w:t>
      </w:r>
    </w:p>
    <w:p>
      <w:r>
        <w:t>Regeste Gewässerverunreinigung; Haftungskonkurrenz bei mehreren Verursachern. Verwaltungsgerichtliches Verfahren. 1. Feststellende Teilverfügungen - nicht zu verwechseln mit den Zwischenverfügungen - sind mit der Verwaltungsgerichtsbeschwerde direkt und selbständig innert 30 Tagen anfechtbar (Art. 106 Abs. 1 OG; E. 1). 2. Hebt das Bundesgericht eine letztinstanzliche kantonale Verfügung wegen Verweigerung des rechtlichen Gehörs auf und weist es die Sache zur neuen Entscheidung an die kantonale Behörde zurück, so kann diese eine Partei im Vergleich zur aufgehobenen Verfügung stärker belasten (E. 2). 3. Reformatio in peius der angefochtenen Verfügung (Art. 114 Abs. 1 OG); Fehlen der erforderlichen Voraussetzungen im vorliegenden Fall (E. 3). 4. Unzulässigkeit der Anschlussbeschwerde im verwaltungsgerichtlichen Verfahren (E. 4).</w:t>
      </w:r>
    </w:p>
    <w:p>
      <w:pPr>
        <w:pStyle w:val="Heading2"/>
      </w:pPr>
      <w:r>
        <w:t>Erwägungen</w:t>
      </w:r>
    </w:p>
    <w:p>
      <w:r>
        <w:rPr>
          <w:b/>
        </w:rPr>
        <w:t>E. 1</w:t>
      </w:r>
    </w:p>
    <w:p>
      <w:r>
        <w:t>Feststellende Teilverfügungen - nicht zu verwechseln mit den Zwischenverfügungen - sind mit der Verwaltungsgerichtsbeschwerde direkt und selbständig innert 30 Tagen anfechtbar ( Art. 106 Abs. 1 OG ; E. 1).</w:t>
      </w:r>
    </w:p>
    <w:p>
      <w:r>
        <w:rPr>
          <w:b/>
        </w:rPr>
        <w:t>E. 2</w:t>
      </w:r>
    </w:p>
    <w:p>
      <w:r>
        <w:t>Hebt das Bundesgericht eine letztinstanzliche kantonale Verfügung wegen Verweigerung des rechtlichen Gehörs auf und weist es die Sache zur neuen Entscheidung an die kantonale Behörde zurück, so kann diese eine Partei im Vergleich zur aufgehobenen Verfügung stärker belasten (E. 2).</w:t>
      </w:r>
    </w:p>
    <w:p>
      <w:r>
        <w:rPr>
          <w:b/>
        </w:rPr>
        <w:t>E. 3</w:t>
      </w:r>
    </w:p>
    <w:p>
      <w:r>
        <w:t>Reformatio in peius der angefochtenen Verfügung ( Art. 114 Abs. 1 OG ); Fehlen der erforderlichen Voraussetzungen im vorliegenden Fall (E. 3).</w:t>
      </w:r>
    </w:p>
    <w:p>
      <w:r>
        <w:rPr>
          <w:b/>
        </w:rPr>
        <w:t>E. 4</w:t>
      </w:r>
    </w:p>
    <w:p>
      <w:r>
        <w:t>Con la risposta al ricorso, la ditta Centonze postula anch'essa l'annullamento della decisione impugnata e chiede in particolare di essere prosciolta da ogni responsabilità. Anche questa domanda - negata l'esistenza dei presupposti legali per la "reformatio in pejus" - è irricevibile. Salvo eccezioni non date in concreto, la procedura del ricorso di diritto amministrativo non conosce infatti il ricorso adesivo: se del caso l'interessata avrebbe quindi dovuto ricorrere a titolo indipendente, rispettando i termini d'impugnazione previsti dall' art. 106 cpv. 1 OG (cfr. DTF 99 Ib 98 /99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